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2" w:type="dxa"/>
        <w:jc w:val="center"/>
        <w:tblLayout w:type="fixed"/>
        <w:tblLook w:val="04A0" w:firstRow="1" w:lastRow="0" w:firstColumn="1" w:lastColumn="0" w:noHBand="0" w:noVBand="1"/>
      </w:tblPr>
      <w:tblGrid>
        <w:gridCol w:w="2273"/>
        <w:gridCol w:w="7449"/>
      </w:tblGrid>
      <w:tr w:rsidR="00796AE2" w:rsidRPr="0064063B" w14:paraId="4749AF6C" w14:textId="77777777" w:rsidTr="00CF2828">
        <w:trPr>
          <w:cantSplit/>
          <w:trHeight w:val="261"/>
          <w:jc w:val="center"/>
        </w:trPr>
        <w:tc>
          <w:tcPr>
            <w:tcW w:w="9722" w:type="dxa"/>
            <w:gridSpan w:val="2"/>
            <w:tcMar>
              <w:top w:w="50" w:type="dxa"/>
              <w:left w:w="50" w:type="dxa"/>
              <w:bottom w:w="50" w:type="dxa"/>
              <w:right w:w="50" w:type="dxa"/>
            </w:tcMar>
          </w:tcPr>
          <w:p w14:paraId="544DD7E0" w14:textId="328BA396" w:rsidR="00777F5F" w:rsidRDefault="00734826">
            <w:pPr>
              <w:spacing w:after="0" w:line="240" w:lineRule="auto"/>
              <w:jc w:val="center"/>
            </w:pPr>
            <w:r>
              <w:rPr>
                <w:b/>
              </w:rPr>
              <w:t>POTENTIAL AND CHALLENGES OF CENTRAL BANK DIGITAL CURRENCY (CBDC) IMPLEMENTATION FOR SHARIA FOREIGN EXCHANGE TRANSACTIONS IN THE DIGITAL ERA</w:t>
            </w:r>
          </w:p>
          <w:p w14:paraId="33E5C32B" w14:textId="320F7BBF" w:rsidR="007E250E" w:rsidRPr="00734826" w:rsidRDefault="00734826" w:rsidP="007E250E">
            <w:pPr>
              <w:spacing w:after="0" w:line="240" w:lineRule="auto"/>
              <w:jc w:val="center"/>
              <w:rPr>
                <w:bCs/>
                <w:lang w:val="pt-BR"/>
              </w:rPr>
            </w:pPr>
            <w:r w:rsidRPr="00734826">
              <w:rPr>
                <w:bCs/>
                <w:vertAlign w:val="superscript"/>
                <w:lang w:val="pt-BR"/>
              </w:rPr>
              <w:t>1</w:t>
            </w:r>
            <w:r w:rsidR="007E250E" w:rsidRPr="00734826">
              <w:rPr>
                <w:bCs/>
                <w:lang w:val="pt-BR"/>
              </w:rPr>
              <w:t>Salma Syafiyah</w:t>
            </w:r>
          </w:p>
          <w:p w14:paraId="7247CB28" w14:textId="5A5833CD" w:rsidR="00777F5F" w:rsidRPr="00734826" w:rsidRDefault="00734826" w:rsidP="00734826">
            <w:pPr>
              <w:spacing w:after="0" w:line="240" w:lineRule="auto"/>
              <w:jc w:val="center"/>
              <w:rPr>
                <w:bCs/>
                <w:lang w:val="pt-BR"/>
              </w:rPr>
            </w:pPr>
            <w:r w:rsidRPr="00734826">
              <w:rPr>
                <w:bCs/>
                <w:vertAlign w:val="superscript"/>
                <w:lang w:val="pt-BR"/>
              </w:rPr>
              <w:t>1</w:t>
            </w:r>
            <w:r w:rsidR="007E250E" w:rsidRPr="00734826">
              <w:rPr>
                <w:bCs/>
                <w:lang w:val="pt-BR"/>
              </w:rPr>
              <w:t xml:space="preserve">Universitas </w:t>
            </w:r>
            <w:r>
              <w:rPr>
                <w:bCs/>
                <w:lang w:val="pt-BR"/>
              </w:rPr>
              <w:t>Islam Negeri</w:t>
            </w:r>
            <w:r w:rsidR="007E250E" w:rsidRPr="00734826">
              <w:rPr>
                <w:bCs/>
                <w:lang w:val="pt-BR"/>
              </w:rPr>
              <w:t xml:space="preserve"> Palangka Raya</w:t>
            </w:r>
            <w:r>
              <w:rPr>
                <w:bCs/>
                <w:lang w:val="pt-BR"/>
              </w:rPr>
              <w:t>, Indonesia</w:t>
            </w:r>
          </w:p>
        </w:tc>
      </w:tr>
      <w:tr w:rsidR="002579F9" w14:paraId="12DCF9B2" w14:textId="77777777" w:rsidTr="002579F9">
        <w:trPr>
          <w:cantSplit/>
          <w:trHeight w:val="261"/>
          <w:jc w:val="center"/>
        </w:trPr>
        <w:tc>
          <w:tcPr>
            <w:tcW w:w="2273" w:type="dxa"/>
            <w:tcMar>
              <w:top w:w="50" w:type="dxa"/>
              <w:left w:w="50" w:type="dxa"/>
              <w:bottom w:w="50" w:type="dxa"/>
              <w:right w:w="50" w:type="dxa"/>
            </w:tcMar>
          </w:tcPr>
          <w:p w14:paraId="70DB9FAB" w14:textId="77777777" w:rsidR="00777F5F" w:rsidRPr="0064063B" w:rsidRDefault="00000000">
            <w:pPr>
              <w:spacing w:after="0" w:line="240" w:lineRule="auto"/>
              <w:rPr>
                <w:sz w:val="20"/>
                <w:szCs w:val="20"/>
              </w:rPr>
            </w:pPr>
            <w:r w:rsidRPr="0064063B">
              <w:rPr>
                <w:b/>
                <w:sz w:val="20"/>
                <w:szCs w:val="20"/>
              </w:rPr>
              <w:t>Article Info:</w:t>
            </w:r>
          </w:p>
        </w:tc>
        <w:tc>
          <w:tcPr>
            <w:tcW w:w="7449" w:type="dxa"/>
            <w:tcMar>
              <w:top w:w="50" w:type="dxa"/>
              <w:left w:w="50" w:type="dxa"/>
              <w:bottom w:w="50" w:type="dxa"/>
              <w:right w:w="50" w:type="dxa"/>
            </w:tcMar>
          </w:tcPr>
          <w:p w14:paraId="3489505E" w14:textId="77777777" w:rsidR="00777F5F" w:rsidRDefault="00000000">
            <w:pPr>
              <w:spacing w:after="0" w:line="240" w:lineRule="auto"/>
            </w:pPr>
            <w:r>
              <w:rPr>
                <w:b/>
              </w:rPr>
              <w:t>Abstract:</w:t>
            </w:r>
          </w:p>
        </w:tc>
      </w:tr>
      <w:tr w:rsidR="002579F9" w14:paraId="7B71425B" w14:textId="77777777" w:rsidTr="002579F9">
        <w:trPr>
          <w:cantSplit/>
          <w:trHeight w:val="1077"/>
          <w:jc w:val="center"/>
        </w:trPr>
        <w:tc>
          <w:tcPr>
            <w:tcW w:w="2273" w:type="dxa"/>
            <w:tcMar>
              <w:top w:w="50" w:type="dxa"/>
              <w:left w:w="50" w:type="dxa"/>
              <w:bottom w:w="50" w:type="dxa"/>
              <w:right w:w="50" w:type="dxa"/>
            </w:tcMar>
          </w:tcPr>
          <w:p w14:paraId="4263E972" w14:textId="77777777" w:rsidR="00777F5F" w:rsidRPr="0064063B" w:rsidRDefault="00000000">
            <w:pPr>
              <w:spacing w:after="0" w:line="240" w:lineRule="auto"/>
              <w:rPr>
                <w:sz w:val="20"/>
                <w:szCs w:val="20"/>
              </w:rPr>
            </w:pPr>
            <w:r w:rsidRPr="0064063B">
              <w:rPr>
                <w:b/>
                <w:sz w:val="20"/>
                <w:szCs w:val="20"/>
              </w:rPr>
              <w:t>Article History:</w:t>
            </w:r>
          </w:p>
          <w:p w14:paraId="4EC82F9B" w14:textId="588429A1" w:rsidR="0064063B" w:rsidRPr="0064063B" w:rsidRDefault="0064063B" w:rsidP="0064063B">
            <w:pPr>
              <w:spacing w:after="0" w:line="240" w:lineRule="auto"/>
              <w:rPr>
                <w:sz w:val="20"/>
                <w:szCs w:val="20"/>
              </w:rPr>
            </w:pPr>
            <w:r w:rsidRPr="0064063B">
              <w:rPr>
                <w:sz w:val="20"/>
                <w:szCs w:val="20"/>
              </w:rPr>
              <w:t>Received: 2026-0</w:t>
            </w:r>
            <w:r w:rsidRPr="0064063B">
              <w:rPr>
                <w:sz w:val="20"/>
                <w:szCs w:val="20"/>
              </w:rPr>
              <w:t>8</w:t>
            </w:r>
            <w:r w:rsidRPr="0064063B">
              <w:rPr>
                <w:sz w:val="20"/>
                <w:szCs w:val="20"/>
              </w:rPr>
              <w:t>-02</w:t>
            </w:r>
          </w:p>
          <w:p w14:paraId="70D72A24" w14:textId="7B736317" w:rsidR="0064063B" w:rsidRPr="0064063B" w:rsidRDefault="0064063B" w:rsidP="0064063B">
            <w:pPr>
              <w:spacing w:after="0" w:line="240" w:lineRule="auto"/>
              <w:rPr>
                <w:sz w:val="20"/>
                <w:szCs w:val="20"/>
              </w:rPr>
            </w:pPr>
            <w:r w:rsidRPr="0064063B">
              <w:rPr>
                <w:sz w:val="20"/>
                <w:szCs w:val="20"/>
              </w:rPr>
              <w:t>Revised: 2026-0</w:t>
            </w:r>
            <w:r w:rsidRPr="0064063B">
              <w:rPr>
                <w:sz w:val="20"/>
                <w:szCs w:val="20"/>
              </w:rPr>
              <w:t>9</w:t>
            </w:r>
            <w:r w:rsidRPr="0064063B">
              <w:rPr>
                <w:sz w:val="20"/>
                <w:szCs w:val="20"/>
              </w:rPr>
              <w:t>-</w:t>
            </w:r>
            <w:r w:rsidRPr="0064063B">
              <w:rPr>
                <w:sz w:val="20"/>
                <w:szCs w:val="20"/>
              </w:rPr>
              <w:t>10</w:t>
            </w:r>
          </w:p>
          <w:p w14:paraId="7B196C40" w14:textId="08751598" w:rsidR="00777F5F" w:rsidRPr="0064063B" w:rsidRDefault="0064063B" w:rsidP="0064063B">
            <w:pPr>
              <w:spacing w:after="0" w:line="240" w:lineRule="auto"/>
              <w:rPr>
                <w:sz w:val="20"/>
                <w:szCs w:val="20"/>
              </w:rPr>
            </w:pPr>
            <w:r w:rsidRPr="0064063B">
              <w:rPr>
                <w:sz w:val="20"/>
                <w:szCs w:val="20"/>
              </w:rPr>
              <w:t>Accepted: 2026-</w:t>
            </w:r>
            <w:r w:rsidRPr="0064063B">
              <w:rPr>
                <w:sz w:val="20"/>
                <w:szCs w:val="20"/>
              </w:rPr>
              <w:t>1</w:t>
            </w:r>
            <w:r w:rsidRPr="0064063B">
              <w:rPr>
                <w:sz w:val="20"/>
                <w:szCs w:val="20"/>
              </w:rPr>
              <w:t>0-</w:t>
            </w:r>
            <w:r w:rsidRPr="0064063B">
              <w:rPr>
                <w:sz w:val="20"/>
                <w:szCs w:val="20"/>
              </w:rPr>
              <w:t>07</w:t>
            </w:r>
          </w:p>
        </w:tc>
        <w:tc>
          <w:tcPr>
            <w:tcW w:w="7449" w:type="dxa"/>
            <w:tcMar>
              <w:top w:w="50" w:type="dxa"/>
              <w:left w:w="50" w:type="dxa"/>
              <w:bottom w:w="50" w:type="dxa"/>
              <w:right w:w="50" w:type="dxa"/>
            </w:tcMar>
          </w:tcPr>
          <w:p w14:paraId="195ACA17" w14:textId="77777777" w:rsidR="00777F5F" w:rsidRDefault="00000000">
            <w:pPr>
              <w:spacing w:after="0" w:line="240" w:lineRule="auto"/>
            </w:pPr>
            <w:r>
              <w:rPr>
                <w:b/>
                <w:sz w:val="20"/>
              </w:rPr>
              <w:t>Purpose:</w:t>
            </w:r>
          </w:p>
          <w:p w14:paraId="4B078B21" w14:textId="77777777" w:rsidR="00777F5F" w:rsidRDefault="00000000">
            <w:pPr>
              <w:spacing w:after="0" w:line="240" w:lineRule="auto"/>
              <w:jc w:val="both"/>
            </w:pPr>
            <w:r>
              <w:rPr>
                <w:sz w:val="20"/>
              </w:rPr>
              <w:t>This study analyzes the potential and challenges of implementing Central Bank Digital Currency (CBDC) in Sharia foreign exchange (Sharf) transactions in the digital era, with particular attention to settlement finality, Sharia compliance, and the regulatory implications of digital currency infrastructure.</w:t>
            </w:r>
          </w:p>
        </w:tc>
      </w:tr>
      <w:tr w:rsidR="00796AE2" w14:paraId="1672B30C" w14:textId="77777777" w:rsidTr="002579F9">
        <w:trPr>
          <w:cantSplit/>
          <w:trHeight w:val="261"/>
          <w:jc w:val="center"/>
        </w:trPr>
        <w:tc>
          <w:tcPr>
            <w:tcW w:w="2273" w:type="dxa"/>
            <w:tcMar>
              <w:top w:w="50" w:type="dxa"/>
              <w:left w:w="50" w:type="dxa"/>
              <w:bottom w:w="50" w:type="dxa"/>
              <w:right w:w="50" w:type="dxa"/>
            </w:tcMar>
          </w:tcPr>
          <w:p w14:paraId="430BA74D" w14:textId="77777777" w:rsidR="00777F5F" w:rsidRPr="0064063B" w:rsidRDefault="00000000">
            <w:pPr>
              <w:spacing w:after="0" w:line="240" w:lineRule="auto"/>
              <w:rPr>
                <w:sz w:val="20"/>
                <w:szCs w:val="20"/>
              </w:rPr>
            </w:pPr>
            <w:r w:rsidRPr="0064063B">
              <w:rPr>
                <w:b/>
                <w:sz w:val="20"/>
                <w:szCs w:val="20"/>
              </w:rPr>
              <w:t>Keywords:</w:t>
            </w:r>
          </w:p>
          <w:p w14:paraId="311E13C2" w14:textId="77777777" w:rsidR="00777F5F" w:rsidRPr="0064063B" w:rsidRDefault="00000000">
            <w:pPr>
              <w:spacing w:after="0" w:line="240" w:lineRule="auto"/>
              <w:rPr>
                <w:sz w:val="20"/>
                <w:szCs w:val="20"/>
              </w:rPr>
            </w:pPr>
            <w:r w:rsidRPr="0064063B">
              <w:rPr>
                <w:sz w:val="20"/>
                <w:szCs w:val="20"/>
              </w:rPr>
              <w:t>Central Bank Digital Currency (CBDC), Sharia Foreign Exchange (Sharf), Smart Contract, Disintermediation</w:t>
            </w:r>
          </w:p>
        </w:tc>
        <w:tc>
          <w:tcPr>
            <w:tcW w:w="7449" w:type="dxa"/>
            <w:tcMar>
              <w:top w:w="50" w:type="dxa"/>
              <w:left w:w="50" w:type="dxa"/>
              <w:bottom w:w="50" w:type="dxa"/>
              <w:right w:w="50" w:type="dxa"/>
            </w:tcMar>
          </w:tcPr>
          <w:p w14:paraId="69E8CAB2" w14:textId="77777777" w:rsidR="00777F5F" w:rsidRDefault="00000000">
            <w:pPr>
              <w:spacing w:after="0" w:line="240" w:lineRule="auto"/>
            </w:pPr>
            <w:r>
              <w:rPr>
                <w:b/>
                <w:sz w:val="20"/>
              </w:rPr>
              <w:t>Methodology:</w:t>
            </w:r>
          </w:p>
          <w:p w14:paraId="22B50AF9" w14:textId="77777777" w:rsidR="00777F5F" w:rsidRDefault="00000000">
            <w:pPr>
              <w:spacing w:after="0" w:line="240" w:lineRule="auto"/>
              <w:jc w:val="both"/>
            </w:pPr>
            <w:r>
              <w:rPr>
                <w:sz w:val="20"/>
              </w:rPr>
              <w:t>The study employs a qualitative approach using library research and regulatory content analysis. It compares key technical features of CBDC, including token-based and account-based models and smart contracts, with DSN-MUI requirements governing Sharf, especially immediate possession (taqabudh) and the prohibition of riba.</w:t>
            </w:r>
          </w:p>
        </w:tc>
      </w:tr>
      <w:tr w:rsidR="00796AE2" w14:paraId="3E783182" w14:textId="77777777" w:rsidTr="002579F9">
        <w:trPr>
          <w:cantSplit/>
          <w:trHeight w:val="1028"/>
          <w:jc w:val="center"/>
        </w:trPr>
        <w:tc>
          <w:tcPr>
            <w:tcW w:w="2273" w:type="dxa"/>
            <w:tcMar>
              <w:top w:w="50" w:type="dxa"/>
              <w:left w:w="50" w:type="dxa"/>
              <w:bottom w:w="50" w:type="dxa"/>
              <w:right w:w="50" w:type="dxa"/>
            </w:tcMar>
          </w:tcPr>
          <w:p w14:paraId="494B9CDD" w14:textId="77777777" w:rsidR="00777F5F" w:rsidRPr="0064063B" w:rsidRDefault="00000000">
            <w:pPr>
              <w:spacing w:after="0" w:line="240" w:lineRule="auto"/>
              <w:rPr>
                <w:sz w:val="20"/>
                <w:szCs w:val="20"/>
                <w:lang w:val="pt-BR"/>
              </w:rPr>
            </w:pPr>
            <w:r w:rsidRPr="0064063B">
              <w:rPr>
                <w:b/>
                <w:sz w:val="20"/>
                <w:szCs w:val="20"/>
                <w:lang w:val="pt-BR"/>
              </w:rPr>
              <w:t>Corresponding Author:</w:t>
            </w:r>
          </w:p>
          <w:p w14:paraId="449034D3" w14:textId="77777777" w:rsidR="001969ED" w:rsidRPr="0064063B" w:rsidRDefault="001969ED" w:rsidP="001969ED">
            <w:pPr>
              <w:spacing w:after="0" w:line="240" w:lineRule="auto"/>
              <w:rPr>
                <w:bCs/>
                <w:sz w:val="20"/>
                <w:szCs w:val="20"/>
                <w:lang w:val="pt-BR"/>
              </w:rPr>
            </w:pPr>
            <w:r w:rsidRPr="0064063B">
              <w:rPr>
                <w:bCs/>
                <w:sz w:val="20"/>
                <w:szCs w:val="20"/>
                <w:vertAlign w:val="superscript"/>
                <w:lang w:val="pt-BR"/>
              </w:rPr>
              <w:t>1</w:t>
            </w:r>
            <w:r w:rsidRPr="0064063B">
              <w:rPr>
                <w:bCs/>
                <w:sz w:val="20"/>
                <w:szCs w:val="20"/>
                <w:lang w:val="pt-BR"/>
              </w:rPr>
              <w:t>Salma Syafiyah</w:t>
            </w:r>
          </w:p>
          <w:p w14:paraId="113504C1" w14:textId="1DD65AFC" w:rsidR="00777F5F" w:rsidRPr="0064063B" w:rsidRDefault="001969ED" w:rsidP="00925BEA">
            <w:pPr>
              <w:spacing w:after="0" w:line="240" w:lineRule="auto"/>
              <w:rPr>
                <w:b/>
                <w:bCs/>
                <w:sz w:val="20"/>
                <w:szCs w:val="20"/>
                <w:lang w:val="pt-BR"/>
              </w:rPr>
            </w:pPr>
            <w:r w:rsidRPr="0064063B">
              <w:rPr>
                <w:b/>
                <w:bCs/>
                <w:sz w:val="20"/>
                <w:szCs w:val="20"/>
                <w:lang w:val="pt-BR"/>
              </w:rPr>
              <w:t>E-mail:</w:t>
            </w:r>
            <w:r w:rsidR="00925BEA" w:rsidRPr="0064063B">
              <w:rPr>
                <w:sz w:val="20"/>
                <w:szCs w:val="20"/>
                <w:lang w:val="pt-BR"/>
              </w:rPr>
              <w:t xml:space="preserve"> </w:t>
            </w:r>
            <w:hyperlink r:id="rId8" w:history="1">
              <w:r w:rsidR="00925BEA" w:rsidRPr="0064063B">
                <w:rPr>
                  <w:rStyle w:val="Hyperlink"/>
                  <w:sz w:val="20"/>
                  <w:szCs w:val="20"/>
                  <w:lang w:val="pt-BR"/>
                </w:rPr>
                <w:t>Salmasyafiyah762@gmail.com</w:t>
              </w:r>
            </w:hyperlink>
            <w:r w:rsidR="00925BEA" w:rsidRPr="0064063B">
              <w:rPr>
                <w:sz w:val="20"/>
                <w:szCs w:val="20"/>
                <w:lang w:val="pt-BR"/>
              </w:rPr>
              <w:t xml:space="preserve"> </w:t>
            </w:r>
          </w:p>
        </w:tc>
        <w:tc>
          <w:tcPr>
            <w:tcW w:w="7449" w:type="dxa"/>
            <w:tcMar>
              <w:top w:w="50" w:type="dxa"/>
              <w:left w:w="50" w:type="dxa"/>
              <w:bottom w:w="50" w:type="dxa"/>
              <w:right w:w="50" w:type="dxa"/>
            </w:tcMar>
          </w:tcPr>
          <w:p w14:paraId="3A042978" w14:textId="77777777" w:rsidR="00777F5F" w:rsidRDefault="00000000">
            <w:pPr>
              <w:spacing w:after="0" w:line="240" w:lineRule="auto"/>
            </w:pPr>
            <w:r>
              <w:rPr>
                <w:b/>
                <w:sz w:val="20"/>
              </w:rPr>
              <w:t>Findings:</w:t>
            </w:r>
          </w:p>
          <w:p w14:paraId="4CB7B3C4" w14:textId="77777777" w:rsidR="00777F5F" w:rsidRDefault="00000000">
            <w:pPr>
              <w:spacing w:after="0" w:line="240" w:lineRule="auto"/>
              <w:jc w:val="both"/>
            </w:pPr>
            <w:r>
              <w:rPr>
                <w:sz w:val="20"/>
              </w:rPr>
              <w:t>The analysis indicates that CBDC has substantial potential to improve transaction efficiency, monetary stability, and Sharia financial inclusion by enabling instant and final settlement. However, implementation faces important challenges, including harmonization of digital fatwas and legal rules, cybersecurity risk, recognition of digital taqabudh, and possible disintermediation effects on Islamic banking liquidity.</w:t>
            </w:r>
          </w:p>
        </w:tc>
      </w:tr>
      <w:tr w:rsidR="00796AE2" w14:paraId="3D979B5B" w14:textId="77777777" w:rsidTr="002579F9">
        <w:trPr>
          <w:cantSplit/>
          <w:trHeight w:val="1163"/>
          <w:jc w:val="center"/>
        </w:trPr>
        <w:tc>
          <w:tcPr>
            <w:tcW w:w="2273" w:type="dxa"/>
            <w:tcMar>
              <w:top w:w="50" w:type="dxa"/>
              <w:left w:w="50" w:type="dxa"/>
              <w:bottom w:w="50" w:type="dxa"/>
              <w:right w:w="50" w:type="dxa"/>
            </w:tcMar>
          </w:tcPr>
          <w:p w14:paraId="241010C2" w14:textId="77777777" w:rsidR="00777F5F" w:rsidRDefault="00000000">
            <w:pPr>
              <w:spacing w:after="0" w:line="240" w:lineRule="auto"/>
            </w:pPr>
            <w:r>
              <w:rPr>
                <w:b/>
                <w:sz w:val="20"/>
              </w:rPr>
              <w:t>Paper Type:</w:t>
            </w:r>
          </w:p>
          <w:p w14:paraId="175FB5BA" w14:textId="77777777" w:rsidR="00777F5F" w:rsidRDefault="00000000">
            <w:pPr>
              <w:spacing w:after="0" w:line="240" w:lineRule="auto"/>
            </w:pPr>
            <w:r>
              <w:rPr>
                <w:sz w:val="20"/>
              </w:rPr>
              <w:t>Research Paper</w:t>
            </w:r>
          </w:p>
          <w:p w14:paraId="4DCB4C7A" w14:textId="77777777" w:rsidR="00F60072" w:rsidRDefault="00577083">
            <w:pPr>
              <w:spacing w:before="20" w:after="0"/>
            </w:pPr>
            <w:r>
              <w:rPr>
                <w:noProof/>
              </w:rPr>
              <w:drawing>
                <wp:inline distT="0" distB="0" distL="0" distR="0" wp14:anchorId="0145375D" wp14:editId="5769AA40">
                  <wp:extent cx="827999" cy="29168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9"/>
                          <a:stretch>
                            <a:fillRect/>
                          </a:stretch>
                        </pic:blipFill>
                        <pic:spPr>
                          <a:xfrm>
                            <a:off x="0" y="0"/>
                            <a:ext cx="827999" cy="291681"/>
                          </a:xfrm>
                          <a:prstGeom prst="rect">
                            <a:avLst/>
                          </a:prstGeom>
                        </pic:spPr>
                      </pic:pic>
                    </a:graphicData>
                  </a:graphic>
                </wp:inline>
              </w:drawing>
            </w:r>
          </w:p>
        </w:tc>
        <w:tc>
          <w:tcPr>
            <w:tcW w:w="7449" w:type="dxa"/>
            <w:tcMar>
              <w:top w:w="50" w:type="dxa"/>
              <w:left w:w="50" w:type="dxa"/>
              <w:bottom w:w="50" w:type="dxa"/>
              <w:right w:w="50" w:type="dxa"/>
            </w:tcMar>
          </w:tcPr>
          <w:p w14:paraId="0B41CF19" w14:textId="77777777" w:rsidR="00777F5F" w:rsidRDefault="00000000">
            <w:pPr>
              <w:spacing w:after="0" w:line="240" w:lineRule="auto"/>
            </w:pPr>
            <w:r>
              <w:rPr>
                <w:b/>
                <w:sz w:val="20"/>
              </w:rPr>
              <w:t>Implication:</w:t>
            </w:r>
          </w:p>
          <w:p w14:paraId="76B29F56" w14:textId="77777777" w:rsidR="00777F5F" w:rsidRDefault="00000000">
            <w:pPr>
              <w:spacing w:after="0" w:line="240" w:lineRule="auto"/>
              <w:jc w:val="both"/>
            </w:pPr>
            <w:r>
              <w:rPr>
                <w:sz w:val="20"/>
              </w:rPr>
              <w:t>The study recommends establishing a CBDC-Sharia Regulatory Harmonization Task Force involving Bank Indonesia, the Financial Services Authority (OJK), and DSN-MUI to develop an integrated framework ensuring that CBDC adoption is safe, efficient, legally certain, and fully Sharia-compliant.</w:t>
            </w:r>
          </w:p>
        </w:tc>
      </w:tr>
    </w:tbl>
    <w:p w14:paraId="65457C63" w14:textId="77777777" w:rsidR="001969ED" w:rsidRDefault="001969ED">
      <w:pPr>
        <w:spacing w:before="120" w:after="40" w:line="240" w:lineRule="auto"/>
        <w:rPr>
          <w:b/>
        </w:rPr>
      </w:pPr>
    </w:p>
    <w:p w14:paraId="7C2FC84C" w14:textId="4C3696D6" w:rsidR="0057206C" w:rsidRDefault="00000000">
      <w:pPr>
        <w:spacing w:before="120" w:after="40" w:line="240" w:lineRule="auto"/>
      </w:pPr>
      <w:r>
        <w:rPr>
          <w:b/>
        </w:rPr>
        <w:t>INTRODUCTION</w:t>
      </w:r>
    </w:p>
    <w:p w14:paraId="50240E6F" w14:textId="77777777" w:rsidR="0057206C" w:rsidRDefault="00000000">
      <w:pPr>
        <w:spacing w:after="0" w:line="240" w:lineRule="auto"/>
        <w:ind w:firstLine="567"/>
        <w:jc w:val="both"/>
      </w:pPr>
      <w:r>
        <w:t>The digital era has fundamentally transformed the global financial landscape, driving innovations such as blockchain technology and cryptocurrencies. This development has encouraged many central banks to explore and develop Central Bank Digital Currencies (CBDCs). CBDCs are expected to provide a safe, efficient, and low-risk form of digital money that may replace cash or, at minimum, complement existing payment systems. In Indonesia, the study of the Digital Rupiah as a CBDC initiative has become increasingly relevant in responding to the challenges and opportunities created by digitalization (Alonso, 2023).</w:t>
      </w:r>
    </w:p>
    <w:p w14:paraId="124A97DC" w14:textId="77777777" w:rsidR="0057206C" w:rsidRDefault="00000000">
      <w:pPr>
        <w:spacing w:after="0" w:line="240" w:lineRule="auto"/>
        <w:ind w:firstLine="567"/>
        <w:jc w:val="both"/>
      </w:pPr>
      <w:r>
        <w:t>At the same time, the Islamic finance sector has shown significant growth worldwide, including in Indonesia. Sharia financial transactions operate according to Islamic principles that prohibit interest (riba), excessive uncertainty or speculation (gharar), and prohibited gambling activities (maysir). The sector includes various instruments, among them Sharia foreign exchange (Sharf), which is subject to strict requirements concerning the exchange of value and the timing of possession, particularly in spot transactions that require immediate exchange.</w:t>
      </w:r>
    </w:p>
    <w:p w14:paraId="52B09D1A" w14:textId="77777777" w:rsidR="0057206C" w:rsidRDefault="00000000">
      <w:pPr>
        <w:spacing w:after="0" w:line="240" w:lineRule="auto"/>
        <w:ind w:firstLine="567"/>
        <w:jc w:val="both"/>
      </w:pPr>
      <w:r>
        <w:t>The integration of conventional and Islamic financial systems within the broader digitalization process creates new complexities. CBDC has substantial potential to improve efficiency and transparency in domestic and cross-border payment systems. However, its implementation must remain consistent with Sharia norms. This study therefore focuses on the intersection of CBDC, digital technology, and the Sharia foreign exchange framework (Amarta, 2023).</w:t>
      </w:r>
    </w:p>
    <w:p w14:paraId="5C87C18A" w14:textId="77777777" w:rsidR="0057206C" w:rsidRDefault="00000000">
      <w:pPr>
        <w:spacing w:after="0" w:line="240" w:lineRule="auto"/>
        <w:ind w:firstLine="567"/>
        <w:jc w:val="both"/>
      </w:pPr>
      <w:r>
        <w:t xml:space="preserve">Existing studies largely examine CBDC from monetary, conventional banking, or general cryptocurrency-comparison perspectives. Literature on CBDC and Islamic finance remains limited, while studies specifically addressing the technical and legal implications of CBDC for Sharia foreign exchange (Sharf) transactions are particularly scarce. Previous research tends to discuss broader issues such as securitization or smart contracts rather </w:t>
      </w:r>
      <w:r>
        <w:lastRenderedPageBreak/>
        <w:t>than the specific challenges of taqabudh haqiqi or taqabudh hukmi (physical or constructive possession), which are crucial in Sharia-compliant currency exchange.</w:t>
      </w:r>
    </w:p>
    <w:p w14:paraId="5F18B5D4" w14:textId="77777777" w:rsidR="0057206C" w:rsidRDefault="00000000">
      <w:pPr>
        <w:spacing w:after="0" w:line="240" w:lineRule="auto"/>
        <w:ind w:firstLine="567"/>
        <w:jc w:val="both"/>
      </w:pPr>
      <w:r>
        <w:t>The principal research gap lies in the absence of an analytical framework that integrates CBDC technology, including token-based and account-based designs, with the strict Sharia requirements applicable to Sharf. Most Sharia studies have not yet treated CBDC as a distinct class of digital monetary asset separate from electronic money or cryptocurrency. The novelty of this study lies in proposing a conceptual model to assess the technical-Sharia compatibility of CBDC with one of the most sensitive treasury products, namely Sharf. The study identifies critical friction points between CBDC design and Sharia principles and proposes innovative regulatory and operational solutions to support a Sharia-compliant Digital Rupiah for both cross-border and domestic transactions (Arief, 2023).</w:t>
      </w:r>
    </w:p>
    <w:p w14:paraId="52047908" w14:textId="77777777" w:rsidR="0057206C" w:rsidRDefault="00000000">
      <w:pPr>
        <w:spacing w:after="0" w:line="240" w:lineRule="auto"/>
        <w:ind w:firstLine="567"/>
        <w:jc w:val="both"/>
      </w:pPr>
      <w:r>
        <w:t>Accordingly, this study is expected to contribute to Bank Indonesia, the Financial Services Authority (OJK), and Islamic financial institutions by providing an in-depth analysis of the potential and challenges of CBDC. The findings are intended to support the development of a regulatory framework that enables digital innovation without compromising Sharia compliance, while also advancing a fully digital and halal framework for foreign exchange transactions.</w:t>
      </w:r>
    </w:p>
    <w:p w14:paraId="10A3FAC8" w14:textId="77777777" w:rsidR="0057206C" w:rsidRDefault="00000000">
      <w:pPr>
        <w:spacing w:before="120" w:after="40" w:line="240" w:lineRule="auto"/>
      </w:pPr>
      <w:r>
        <w:rPr>
          <w:b/>
        </w:rPr>
        <w:t>METHODS</w:t>
      </w:r>
    </w:p>
    <w:p w14:paraId="7DD87A15" w14:textId="77777777" w:rsidR="0057206C" w:rsidRDefault="00000000">
      <w:pPr>
        <w:spacing w:after="0" w:line="240" w:lineRule="auto"/>
        <w:ind w:firstLine="567"/>
        <w:jc w:val="both"/>
      </w:pPr>
      <w:r>
        <w:rPr>
          <w:b/>
        </w:rPr>
        <w:t xml:space="preserve">Research Approach and Design. </w:t>
      </w:r>
      <w:r>
        <w:t>This study adopts a qualitative approach using library research and regulatory content analysis. Because the topic is forward-looking and highly dependent on legal and technical frameworks, a qualitative approach enables an in-depth exploration of concepts, Sharia principles, and proposed CBDC designs. Library research is used to collect comprehensive secondary data from multiple sources, including international central bank reports, academic journals on CBDC and Sharf, and fatwas issued by the National Sharia Council of the Indonesian Ulema Council (DSN-MUI) concerning digital transactions and foreign exchange (Baeriswyl, 2023).</w:t>
      </w:r>
    </w:p>
    <w:p w14:paraId="74D07701" w14:textId="77777777" w:rsidR="0057206C" w:rsidRDefault="00000000">
      <w:pPr>
        <w:spacing w:after="0" w:line="240" w:lineRule="auto"/>
        <w:ind w:firstLine="567"/>
        <w:jc w:val="both"/>
      </w:pPr>
      <w:r>
        <w:rPr>
          <w:b/>
        </w:rPr>
        <w:t xml:space="preserve">Types and Sources of Data. </w:t>
      </w:r>
      <w:r>
        <w:t>The study uses secondary data grouped into three main categories. First, technical and operational CBDC data are obtained from white papers and research reports issued by Bank Indonesia, including Project Garuda, as well as by other major central banks such as the Federal Reserve and the European Central Bank. Second, legal and Sharia-compliance data are drawn from DSN-MUI fatwas, legislation, and regulations issued by OJK and Bank Indonesia concerning foreign exchange transactions and Islamic financial products. Third, academic and professional literature is obtained from reputable journals addressing Islamic fintech, CBDC, distributed ledger technology (DLT), and Islamic monetary economics.</w:t>
      </w:r>
    </w:p>
    <w:p w14:paraId="7C725978" w14:textId="77777777" w:rsidR="0057206C" w:rsidRDefault="00000000">
      <w:pPr>
        <w:spacing w:after="0" w:line="240" w:lineRule="auto"/>
        <w:ind w:firstLine="567"/>
        <w:jc w:val="both"/>
      </w:pPr>
      <w:r>
        <w:rPr>
          <w:b/>
        </w:rPr>
        <w:t xml:space="preserve">Data Collection Technique. </w:t>
      </w:r>
      <w:r>
        <w:t>The primary data-collection techniques are documentation and structured literature review. The process begins with identifying and classifying key documents according to their relevance to the research topic. The collected materials are then examined through content analysis. Technical CBDC documents are analyzed to identify key features, such as token-based versus account-based architecture, payment finality, and settlement mechanisms. In parallel, Sharf fatwas are analyzed to identify strict Sharia requirements, particularly taqabudh (immediate possession) and the prohibition of riba, including riba al-fadl and riba al-nasi'ah.</w:t>
      </w:r>
    </w:p>
    <w:p w14:paraId="49DF5764" w14:textId="77777777" w:rsidR="0057206C" w:rsidRDefault="00000000">
      <w:pPr>
        <w:spacing w:after="0" w:line="240" w:lineRule="auto"/>
        <w:ind w:firstLine="567"/>
        <w:jc w:val="both"/>
      </w:pPr>
      <w:r>
        <w:rPr>
          <w:b/>
        </w:rPr>
        <w:t xml:space="preserve">Data Analysis Technique. </w:t>
      </w:r>
      <w:r>
        <w:t>The data are analyzed using a descriptive-critical approach. The first stage provides a detailed descriptive explanation of CBDC mechanisms and Sharf principles. The second stage applies critical gap analysis by systematically comparing CBDC technical features with Sharf requirements to identify areas of non-conformity or potential concern, for example whether instant CBDC settlement satisfies the definition of taqabudh hukmi. These friction points form the basis for identifying the potential and challenges of CBDC implementation (Nurhaliza, 2025).</w:t>
      </w:r>
    </w:p>
    <w:p w14:paraId="1828687A" w14:textId="77777777" w:rsidR="0057206C" w:rsidRDefault="00000000" w:rsidP="005A34B2">
      <w:pPr>
        <w:spacing w:line="240" w:lineRule="auto"/>
        <w:ind w:firstLine="567"/>
        <w:jc w:val="both"/>
      </w:pPr>
      <w:r>
        <w:rPr>
          <w:b/>
        </w:rPr>
        <w:t xml:space="preserve">Validity and Model Contribution. </w:t>
      </w:r>
      <w:r>
        <w:t>To strengthen the validity of the findings, the study applies source triangulation by comparing perspectives from central banks as regulators, Sharia legal experts, and industry practitioners. The analysis is used to develop a conceptual CBDC-Sharia compliance model for foreign exchange transactions. This model constitutes the study's main contribution by not only identifying problems but also proposing regulatory and technical design solutions, such as Sharia-compliant CBDC-based smart contracts, to bridge the gap between digital innovation and Sharia compliance in financial markets.</w:t>
      </w:r>
    </w:p>
    <w:p w14:paraId="613CDF4B" w14:textId="77777777" w:rsidR="0057206C" w:rsidRDefault="00000000">
      <w:pPr>
        <w:spacing w:before="120" w:after="40" w:line="240" w:lineRule="auto"/>
      </w:pPr>
      <w:r>
        <w:rPr>
          <w:b/>
        </w:rPr>
        <w:t>RESULTS AND DISCUSSION</w:t>
      </w:r>
    </w:p>
    <w:p w14:paraId="774F2B51" w14:textId="77777777" w:rsidR="0057206C" w:rsidRDefault="00000000">
      <w:pPr>
        <w:spacing w:after="0" w:line="240" w:lineRule="auto"/>
        <w:ind w:firstLine="567"/>
        <w:jc w:val="both"/>
      </w:pPr>
      <w:r>
        <w:rPr>
          <w:b/>
        </w:rPr>
        <w:t>Sharia Compliance (Sharf) in CBDC Technical Mechanisms</w:t>
      </w:r>
    </w:p>
    <w:p w14:paraId="333DB1EC" w14:textId="77777777" w:rsidR="0057206C" w:rsidRDefault="00000000">
      <w:pPr>
        <w:spacing w:after="0" w:line="240" w:lineRule="auto"/>
        <w:ind w:firstLine="567"/>
        <w:jc w:val="both"/>
      </w:pPr>
      <w:r>
        <w:lastRenderedPageBreak/>
        <w:t>DSN-MUI fatwas explicitly require foreign exchange transactions to be conducted on a spot basis and with immediate possession. CBDC is designed to provide instant payment finality and settlement without third-party credit risk because it constitutes a direct liability of the central bank. Differences between token-based and account-based CBDC designs may also affect the interpretation of taqabudh. Under a token-based model, possession resembles the peer-to-peer transfer of physical money and may therefore more directly satisfy the requirement of immediate exchange. This issue requires close examination of how Distributed Ledger Technology (DLT), or other centralized infrastructures used for CBDC, can guarantee completion once a Sharia foreign exchange transaction is processed (Pertiwi, 2024).</w:t>
      </w:r>
    </w:p>
    <w:p w14:paraId="60DF6900" w14:textId="77777777" w:rsidR="0057206C" w:rsidRDefault="00000000">
      <w:pPr>
        <w:spacing w:after="0" w:line="240" w:lineRule="auto"/>
        <w:ind w:firstLine="567"/>
        <w:jc w:val="both"/>
      </w:pPr>
      <w:r>
        <w:t>A second Sharia challenge concerns riba and gharar. In Sharf transactions, the risk of riba al-nasi'ah arises when there is a significant delay between the exchange of the two currencies, which is prohibited. CBDC can directly address much of the riba al-nasi'ah risk associated with traditional settlement. Because CBDC is designed to provide immediate and final settlement, delays that might unintentionally create riba al-nasi'ah can be minimized, particularly in domestic and cross-border Sharf transactions conducted through multilateral CBDC platforms. The key question is the extent to which CBDC settlement speed satisfies the fatwa-based interpretation of immediacy.</w:t>
      </w:r>
    </w:p>
    <w:p w14:paraId="75CBFCAA" w14:textId="77777777" w:rsidR="0057206C" w:rsidRDefault="00000000">
      <w:pPr>
        <w:spacing w:after="0" w:line="240" w:lineRule="auto"/>
        <w:ind w:firstLine="567"/>
        <w:jc w:val="both"/>
      </w:pPr>
      <w:r>
        <w:t>The traceability and transparency embedded in DLT/CBDC can also play an important role in mitigating gharar, or excessive uncertainty. In cross-border Sharia foreign exchange transactions, uncertainty regarding funds, counterparties, or settlement status may create gharar. With CBDC, clear and real-time settlement status on a central bank ledger can substantially reduce operational ambiguity and thereby support stronger Sharia compliance (Selfkey, 2020).</w:t>
      </w:r>
    </w:p>
    <w:p w14:paraId="2DA8F387" w14:textId="77777777" w:rsidR="0057206C" w:rsidRDefault="00000000">
      <w:pPr>
        <w:spacing w:after="0" w:line="240" w:lineRule="auto"/>
        <w:ind w:firstLine="567"/>
        <w:jc w:val="both"/>
      </w:pPr>
      <w:r>
        <w:t>The role of smart contracts built on CBDC infrastructure, particularly wholesale CBDC, also requires examination. Smart contracts can automate the execution of Sharia foreign exchange agreements. They can be programmed to execute only when both parties hold the required CBDC amounts, thereby ensuring immediate Delivery versus Payment (DvP). Such contracts can facilitate simultaneous exchange, meaning that both digital currencies change ownership within the same ledger block, potentially eliminating settlement risk and riba al-nasi'ah. A valid implementation nevertheless requires a technical and legal framework under which smart contracts are recognized as acceptable mechanisms for Sharf.</w:t>
      </w:r>
    </w:p>
    <w:p w14:paraId="45935FEE" w14:textId="77777777" w:rsidR="0057206C" w:rsidRDefault="00000000">
      <w:pPr>
        <w:spacing w:after="0" w:line="240" w:lineRule="auto"/>
        <w:ind w:firstLine="567"/>
        <w:jc w:val="both"/>
      </w:pPr>
      <w:r>
        <w:rPr>
          <w:b/>
        </w:rPr>
        <w:t>Potential for Greater Efficiency and Inclusion through CBDC</w:t>
      </w:r>
    </w:p>
    <w:p w14:paraId="41D3F7CA" w14:textId="77777777" w:rsidR="0057206C" w:rsidRDefault="00000000">
      <w:pPr>
        <w:spacing w:after="0" w:line="240" w:lineRule="auto"/>
        <w:ind w:firstLine="567"/>
        <w:jc w:val="both"/>
      </w:pPr>
      <w:r>
        <w:t>One of the greatest potential benefits of Central Bank Digital Currency is its ability to address inefficiencies in cross-border Sharia foreign exchange transactions. Existing correspondent banking payment systems, including networks such as SWIFT, often involve multiple intermediaries, resulting in multi-day settlement periods and relatively high costs. For Islamic financial institutions, these delays may also complicate optimal fulfillment of the taqabudh requirement for immediate possession.</w:t>
      </w:r>
    </w:p>
    <w:p w14:paraId="7BD5E169" w14:textId="77777777" w:rsidR="0057206C" w:rsidRDefault="00000000">
      <w:pPr>
        <w:spacing w:after="0" w:line="240" w:lineRule="auto"/>
        <w:ind w:firstLine="567"/>
        <w:jc w:val="both"/>
      </w:pPr>
      <w:r>
        <w:t>The implementation of CBDC, particularly wholesale CBDC, offers a potentially transformative solution to inefficiencies embedded in cross-border Sharia foreign exchange settlement. Traditional systems rely on complex correspondent banking networks in which funds pass through several intermediaries. This process inherently creates latency, increases operational costs, and, more importantly, complicates compliance with the immediate-possession requirement applicable to Sharf transactions.</w:t>
      </w:r>
    </w:p>
    <w:p w14:paraId="573581F6" w14:textId="77777777" w:rsidR="0057206C" w:rsidRDefault="00000000">
      <w:pPr>
        <w:spacing w:after="0" w:line="240" w:lineRule="auto"/>
        <w:ind w:firstLine="567"/>
        <w:jc w:val="both"/>
      </w:pPr>
      <w:r>
        <w:t>Wholesale CBDC could allow Islamic financial institutions to directly hold and exchange central bank liabilities. The mechanism may operate through a shared Distributed Ledger Technology platform on which Islamic banks transact peer-to-peer without correspondent bank intermediaries. Removing intermediaries can substantially shorten the clearing and settlement chain, reducing processes that currently take several days to settlement periods measured in seconds or minutes.</w:t>
      </w:r>
    </w:p>
    <w:p w14:paraId="3AC7AE48" w14:textId="77777777" w:rsidR="0057206C" w:rsidRDefault="00000000">
      <w:pPr>
        <w:spacing w:after="0" w:line="240" w:lineRule="auto"/>
        <w:ind w:firstLine="567"/>
        <w:jc w:val="both"/>
      </w:pPr>
      <w:r>
        <w:t>This fundamental efficiency gain has direct implications for risk mitigation. Faster CBDC settlement can reduce liquidity risk because Islamic financial institutions may no longer need to maintain large capital buffers in multiple currencies across correspondent banks worldwide. Liquidity can instead be optimized because settlement funds need to be available only immediately before and during the transaction, freeing capital that would otherwise remain tied up.</w:t>
      </w:r>
    </w:p>
    <w:p w14:paraId="1975D9EC" w14:textId="77777777" w:rsidR="0057206C" w:rsidRDefault="00000000">
      <w:pPr>
        <w:spacing w:after="0" w:line="240" w:lineRule="auto"/>
        <w:ind w:firstLine="567"/>
        <w:jc w:val="both"/>
      </w:pPr>
      <w:r>
        <w:t xml:space="preserve">The speed and finality of CBDC can also address settlement risk, particularly Herstatt risk, in which one party delivers funds but the counterparty fails to do so. Because CBDC can provide immediate and irreversible settlement on a central bank ledger, it can support an effective Delivery versus Payment mechanism. Beyond lowering cost and settlement time, CBDC may therefore provide a highly secure and Sharia-compatible settlement infrastructure. Its ability to transform cross-border clearing and settlement could strengthen the competitiveness </w:t>
      </w:r>
      <w:r>
        <w:lastRenderedPageBreak/>
        <w:t>of Islamic financial institutions in global trade while supporting the stability and compliance of the Islamic financial system amid continued digitalization (Shah, 2024).</w:t>
      </w:r>
    </w:p>
    <w:p w14:paraId="5935FD70" w14:textId="77777777" w:rsidR="0057206C" w:rsidRDefault="00000000">
      <w:pPr>
        <w:spacing w:after="0" w:line="240" w:lineRule="auto"/>
        <w:ind w:firstLine="567"/>
        <w:jc w:val="both"/>
      </w:pPr>
      <w:r>
        <w:t>Liquidity risk may be further reduced because Islamic banks would not need to maintain substantial buffers in multiple currencies through correspondent banking networks. Instant central bank payment finality could also substantially reduce counterparty delivery failure and strengthen DvP. Wholesale CBDC is especially relevant to the Sharia foreign exchange market because it could reshape interactions among central banks and Islamic banks across jurisdictions within a multi-CBDC ecosystem. This model could support more efficient and Sharia-compliant international trade and strengthen the role of Islamic finance in global supply chains. CBDC also holds a unique position as a direct central bank liability, making it a low-risk settlement asset compared with electronic money or deposits held at commercial banks.</w:t>
      </w:r>
    </w:p>
    <w:p w14:paraId="07488F34" w14:textId="77777777" w:rsidR="0057206C" w:rsidRDefault="00000000">
      <w:pPr>
        <w:spacing w:after="0" w:line="240" w:lineRule="auto"/>
        <w:ind w:firstLine="567"/>
        <w:jc w:val="both"/>
      </w:pPr>
      <w:r>
        <w:t>Retail CBDC, which is accessible to the public, may create significant opportunities for Sharia financial inclusion. Small and medium-sized enterprises (SMEs) and individuals often face obstacles when accessing efficient and Sharia-compliant foreign exchange services because of high transaction costs and complex account requirements. CBDC could enable Sharia foreign exchange transactions through more accessible, low-cost, and transparent digital platforms. Easier and less expensive access could help export- and import-oriented Sharia-compliant SMEs manage foreign exchange risk more effectively and support more inclusive growth in the digital Islamic economy.</w:t>
      </w:r>
    </w:p>
    <w:p w14:paraId="05AA6562" w14:textId="77777777" w:rsidR="0057206C" w:rsidRDefault="00000000">
      <w:pPr>
        <w:spacing w:after="0" w:line="240" w:lineRule="auto"/>
        <w:ind w:firstLine="567"/>
        <w:jc w:val="both"/>
      </w:pPr>
      <w:r>
        <w:t>CBDC can therefore function as a digital catalyst that improves operational efficiency for major market participants, such as Islamic banks, through fast and secure settlement while also acting as an inclusion mechanism that extends low-cost and secure Sharia foreign exchange services to individuals and SMEs. This synergy indicates that CBDC could significantly advance and digitalize Indonesia's Islamic financial ecosystem.</w:t>
      </w:r>
    </w:p>
    <w:p w14:paraId="75000982" w14:textId="77777777" w:rsidR="0057206C" w:rsidRDefault="00000000">
      <w:pPr>
        <w:spacing w:after="0" w:line="240" w:lineRule="auto"/>
        <w:ind w:firstLine="567"/>
        <w:jc w:val="both"/>
      </w:pPr>
      <w:r>
        <w:rPr>
          <w:b/>
        </w:rPr>
        <w:t>Regulatory, Operational, and Implementation Risks of CBDC</w:t>
      </w:r>
    </w:p>
    <w:p w14:paraId="1D79C72D" w14:textId="77777777" w:rsidR="0057206C" w:rsidRDefault="00000000">
      <w:pPr>
        <w:spacing w:after="0" w:line="240" w:lineRule="auto"/>
        <w:ind w:firstLine="567"/>
        <w:jc w:val="both"/>
      </w:pPr>
      <w:r>
        <w:t>Although CBDC promises greater efficiency, one of the most significant challenges lies in harmonizing conventional regulatory frameworks with Sharia fatwas. Bank Indonesia must determine the legal status of CBDC under positive law, whether as money, a payment instrument, or a digital asset. This status must also be consistent with DSN-MUI recognition of CBDC as a valid medium for Sharf transactions. A major regulatory gap concerns the legal recognition of digital taqabudh.</w:t>
      </w:r>
    </w:p>
    <w:p w14:paraId="63DAC211" w14:textId="77777777" w:rsidR="0057206C" w:rsidRDefault="00000000">
      <w:pPr>
        <w:spacing w:after="0" w:line="240" w:lineRule="auto"/>
        <w:ind w:firstLine="567"/>
        <w:jc w:val="both"/>
      </w:pPr>
      <w:r>
        <w:t>Another challenge concerns integrating smart contracts into the Sharia legal framework. Although smart contracts may automate Sharf compliance through simultaneous DvP, regulatory clarity is needed regarding the legal enforceability of automatically executed contracts on CBDC infrastructure, particularly in dispute resolution before Religious Courts or the National Sharia Arbitration Board (BASYARNAS). Accordingly, inclusive regulations issued by OJK and Bank Indonesia are required to explicitly recognize and authorize both wholesale and retail CBDC as legally valid and Sharia-compliant instruments for Sharia foreign exchange treasury activities, supported by relevant and updated DSN-MUI fatwas (Siswantoro, 2020).</w:t>
      </w:r>
    </w:p>
    <w:p w14:paraId="5A53F345" w14:textId="77777777" w:rsidR="0057206C" w:rsidRDefault="00000000">
      <w:pPr>
        <w:spacing w:after="0" w:line="240" w:lineRule="auto"/>
        <w:ind w:firstLine="567"/>
        <w:jc w:val="both"/>
      </w:pPr>
      <w:r>
        <w:t>The implementation of CBDC infrastructure, which depends heavily on advanced technologies such as DLT, also introduces significant cybersecurity risk. Cyberattacks on centralized systems or CBDC ledgers could have severe consequences because CBDC represents central-bank money. System failures or breaches could threaten broader monetary stability. Operationally, Islamic banks would also face major challenges in modifying their treasury systems. Integration with CBDC platforms requires substantial technological investment, staff training, and updates to standard operating procedures. Single-point-of-failure risk must also be mitigated because an outage in the CBDC system could halt Sharia foreign exchange transactions.</w:t>
      </w:r>
    </w:p>
    <w:p w14:paraId="61A889E3" w14:textId="77777777" w:rsidR="0057206C" w:rsidRDefault="00000000">
      <w:pPr>
        <w:spacing w:after="0" w:line="240" w:lineRule="auto"/>
        <w:ind w:firstLine="567"/>
        <w:jc w:val="both"/>
      </w:pPr>
      <w:r>
        <w:t>Data privacy and Anti-Money Laundering (AML) requirements also require attention. Although CBDC traceability can support AML objectives, excessive surveillance may create privacy concerns for users. Regulators must balance the transparency needed for Sharia compliance and AML/CFT with users' privacy rights. Another major macroeconomic risk of retail CBDC is disintermediation. If retail CBDC becomes highly attractive and widely accessible, Islamic bank customers may transfer deposits into CBDC. This could reduce Islamic banking liquidity, diminish funds available for Sharia financing, and weaken the intermediation function.</w:t>
      </w:r>
    </w:p>
    <w:p w14:paraId="19BEB1EB" w14:textId="77777777" w:rsidR="0057206C" w:rsidRDefault="00000000">
      <w:pPr>
        <w:spacing w:after="0" w:line="240" w:lineRule="auto"/>
        <w:ind w:firstLine="567"/>
        <w:jc w:val="both"/>
      </w:pPr>
      <w:r>
        <w:t xml:space="preserve">The implementation of CBDC in Sharia foreign exchange transactions offers potentially transformative operational efficiency through instant and secure settlement, which may facilitate compliance with taqabudh. However, these benefits are accompanied by complex challenges. The most fundamental issue is the need to harmonize regulation and fatwas so that monetary authorities and Sharia authorities reach agreement on the legal </w:t>
      </w:r>
      <w:r>
        <w:lastRenderedPageBreak/>
        <w:t>status of CBDC and the interpretation of digital taqabudh, allowing CBDC to be recognized as a fully Sharia-compliant transaction medium (Sutarsih, 2023).</w:t>
      </w:r>
    </w:p>
    <w:p w14:paraId="43BC3FCA" w14:textId="77777777" w:rsidR="0057206C" w:rsidRDefault="00000000">
      <w:pPr>
        <w:spacing w:after="0" w:line="240" w:lineRule="auto"/>
        <w:ind w:firstLine="567"/>
        <w:jc w:val="both"/>
      </w:pPr>
      <w:r>
        <w:t>Operational and cybersecurity risks are equally critical. Although CBDC offers finality, its infrastructure remains exposed to cyber threats and potential single points of failure that could undermine payment-system stability. At the macroeconomic level, widespread retail CBDC adoption may also trigger disintermediation, drain liquidity from Islamic banks, and disrupt their financing intermediation function. Appropriate risk-mitigation strategies are therefore needed, including CBDC holding limits and strengthened cybersecurity safeguards.</w:t>
      </w:r>
    </w:p>
    <w:p w14:paraId="27E803CC" w14:textId="77777777" w:rsidR="0057206C" w:rsidRDefault="00000000">
      <w:pPr>
        <w:spacing w:after="0" w:line="240" w:lineRule="auto"/>
        <w:ind w:firstLine="567"/>
        <w:jc w:val="both"/>
      </w:pPr>
      <w:r>
        <w:t>The success of CBDC as a safe, efficient, and Sharia-compliant innovation depends on close inter-institutional collaboration. Strong coordination is required among Bank Indonesia as the monetary authority, OJK as the financial services regulator, and DSN-MUI as the Sharia compliance authority. This cooperation should produce clear technical guidance, fatwas that accommodate digital innovation, and policies that balance CBDC efficiency with the stability and sustainability of liquidity within the Islamic banking ecosystem.</w:t>
      </w:r>
    </w:p>
    <w:p w14:paraId="0AE673AB" w14:textId="77777777" w:rsidR="0057206C" w:rsidRDefault="00000000">
      <w:pPr>
        <w:spacing w:before="120" w:after="40" w:line="240" w:lineRule="auto"/>
      </w:pPr>
      <w:r>
        <w:rPr>
          <w:b/>
        </w:rPr>
        <w:t>CONCLUSION</w:t>
      </w:r>
    </w:p>
    <w:p w14:paraId="45F01055" w14:textId="77777777" w:rsidR="0057206C" w:rsidRDefault="00000000">
      <w:pPr>
        <w:spacing w:after="0" w:line="240" w:lineRule="auto"/>
        <w:ind w:firstLine="567"/>
        <w:jc w:val="both"/>
      </w:pPr>
      <w:r>
        <w:t>This study concludes that Central Bank Digital Currency has significant transformative potential to improve the efficiency of Sharia foreign exchange transactions in the digital era. CBDC advantages, particularly instant payment finality and its status as a direct central bank liability, may technically support optimal fulfillment of taqabudh hukmi, or constructive possession. Real-time settlement can also mitigate riba al-nasi'ah risk arising from delay, liquidity risk, and third-party counterparty risk that traditionally complicate cross-border Sharia foreign exchange transactions.</w:t>
      </w:r>
    </w:p>
    <w:p w14:paraId="25AF62F9" w14:textId="77777777" w:rsidR="0057206C" w:rsidRDefault="00000000">
      <w:pPr>
        <w:spacing w:after="0" w:line="240" w:lineRule="auto"/>
        <w:ind w:firstLine="567"/>
        <w:jc w:val="both"/>
      </w:pPr>
      <w:r>
        <w:t>CBDC adoption in Sharia foreign exchange is nevertheless accompanied by regulatory and operational challenges. The primary Sharia-regulatory issue is the need for a clear and authoritative DSN-MUI fatwa regarding the legal status and interpretation of taqabudh in the context of digital monetary assets. Operational and macro-level risks include cybersecurity threats to CBDC infrastructure and potential banking disintermediation that could undermine Islamic bank liquidity if retail CBDC is adopted on a large scale without adequate safeguards.</w:t>
      </w:r>
    </w:p>
    <w:p w14:paraId="5474B8FB" w14:textId="77777777" w:rsidR="0057206C" w:rsidRDefault="00000000">
      <w:pPr>
        <w:spacing w:after="0" w:line="240" w:lineRule="auto"/>
        <w:ind w:firstLine="567"/>
        <w:jc w:val="both"/>
      </w:pPr>
      <w:r>
        <w:t>Based on these findings, Bank Indonesia and OJK should establish a CBDC-Sharia Regulatory Harmonization Task Force involving DSN-MUI and technology experts to formulate an explicit Sharia CBDC regulatory framework. The framework should prioritize recognition of CBDC, especially wholesale CBDC, as a valid settlement asset compatible with Sharf and should provide clear legal guidance for the use of smart contracts to automate Sharia compliance.</w:t>
      </w:r>
    </w:p>
    <w:p w14:paraId="1CE95CD0" w14:textId="77777777" w:rsidR="0057206C" w:rsidRDefault="00000000">
      <w:pPr>
        <w:spacing w:after="0" w:line="240" w:lineRule="auto"/>
        <w:ind w:firstLine="567"/>
        <w:jc w:val="both"/>
      </w:pPr>
      <w:r>
        <w:t>Islamic financial institutions should also proactively invest in and develop their treasury systems by preparing for the integration of DLT or CBDC infrastructure into Sharia foreign exchange operations. They should develop CBDC-based Sharia foreign exchange products that combine efficiency with financial inclusion, including low-cost transaction services for small and medium-sized enterprises, in order to maximize the potential of the digital Islamic economy.</w:t>
      </w:r>
    </w:p>
    <w:p w14:paraId="3F9A530E" w14:textId="77777777" w:rsidR="0057206C" w:rsidRDefault="00000000">
      <w:pPr>
        <w:spacing w:after="0" w:line="240" w:lineRule="auto"/>
        <w:ind w:firstLine="567"/>
        <w:jc w:val="both"/>
      </w:pPr>
      <w:r>
        <w:t>Future research should conduct empirical comparative studies on the impact of CBDC on Islamic banking liquidity using simulation data or econometric models, particularly in relation to disintermediation risk. Further studies may also focus on governance models for Sharia-compliant smart contracts on cross-border CBDC platforms to ensure that technical efficiency is aligned with Sharia legal compliance and consumer protection.</w:t>
      </w:r>
    </w:p>
    <w:p w14:paraId="1E712278" w14:textId="77777777" w:rsidR="0057206C" w:rsidRDefault="00000000">
      <w:pPr>
        <w:spacing w:before="120" w:after="40" w:line="240" w:lineRule="auto"/>
      </w:pPr>
      <w:r>
        <w:rPr>
          <w:b/>
        </w:rPr>
        <w:t>REFERENCES</w:t>
      </w:r>
    </w:p>
    <w:p w14:paraId="75441C06" w14:textId="77777777" w:rsidR="0057206C" w:rsidRDefault="00000000">
      <w:pPr>
        <w:spacing w:after="0" w:line="240" w:lineRule="auto"/>
        <w:ind w:left="567" w:hanging="567"/>
        <w:jc w:val="both"/>
      </w:pPr>
      <w:r>
        <w:t>Alonso, S. L. N. (2023). Can Central Bank Digital Currencies be green and sustainable? Green Finance, 5(4), 603–623. https://doi.org/10.3934/gf.2023023</w:t>
      </w:r>
    </w:p>
    <w:p w14:paraId="50F4087E" w14:textId="77777777" w:rsidR="0057206C" w:rsidRDefault="00000000">
      <w:pPr>
        <w:spacing w:after="0" w:line="240" w:lineRule="auto"/>
        <w:ind w:left="567" w:hanging="567"/>
        <w:jc w:val="both"/>
      </w:pPr>
      <w:r>
        <w:t>Amarta, C. C., &amp; Latifah, F. N. (2023). The Influence of Understanding Financial Literacy and Community Readiness on the Use of Central Bank Digital Currency (CBDC). JESI (Jurnal Ekonomi Syariah Indonesia), 13(1), 45–53. https://doi.org/10.21927/jesi.2023.13(1).45-53</w:t>
      </w:r>
    </w:p>
    <w:p w14:paraId="3CF69C6B" w14:textId="77777777" w:rsidR="0057206C" w:rsidRDefault="00000000">
      <w:pPr>
        <w:spacing w:after="0" w:line="240" w:lineRule="auto"/>
        <w:ind w:left="567" w:hanging="567"/>
        <w:jc w:val="both"/>
      </w:pPr>
      <w:r>
        <w:t>Arief, S., &amp; Triyuwono, I. (2023). Central Bank Digital Currency Dalam Perspektif Ekonomi Syariah. Review Akuntansi, Keuangan, Dan Sistem Informasi, 2(1), 221–233. https://doi.org/10.21776/reaksi.2023.2.1.133</w:t>
      </w:r>
    </w:p>
    <w:p w14:paraId="5BDB9C1F" w14:textId="77777777" w:rsidR="0057206C" w:rsidRDefault="00000000">
      <w:pPr>
        <w:spacing w:after="0" w:line="240" w:lineRule="auto"/>
        <w:ind w:left="567" w:hanging="567"/>
        <w:jc w:val="both"/>
      </w:pPr>
      <w:r>
        <w:t>Baeriswyl, R. (2023). Would a Retail Central Bank Digital Currency Achieve Purpose? The Emergence of a Tradition: Essays in Honor of Jesús Huerta de Soto, Volume I, 23–34. https://doi.org/10.1007/978-3-031-17414-8_3</w:t>
      </w:r>
    </w:p>
    <w:p w14:paraId="130136A5" w14:textId="77777777" w:rsidR="0057206C" w:rsidRDefault="00000000">
      <w:pPr>
        <w:spacing w:after="0" w:line="240" w:lineRule="auto"/>
        <w:ind w:left="567" w:hanging="567"/>
        <w:jc w:val="both"/>
      </w:pPr>
      <w:r>
        <w:t>Nurhaliza, S., Ningsih, A. S., &amp; Ismaini, D. (2025). Keamanan Data Nasabah Bank Syariah. Jurnal Multidisiplin Ilmu Akademik, 2(1), 651–662.</w:t>
      </w:r>
    </w:p>
    <w:p w14:paraId="309A0234" w14:textId="77777777" w:rsidR="0057206C" w:rsidRDefault="00000000">
      <w:pPr>
        <w:spacing w:after="0" w:line="240" w:lineRule="auto"/>
        <w:ind w:left="567" w:hanging="567"/>
        <w:jc w:val="both"/>
      </w:pPr>
      <w:r>
        <w:lastRenderedPageBreak/>
        <w:t>Pertiwi, T. D., &amp; Herianingrum, S. (2024). Menggali konsep maqashid syariah: Perspektif pemikiran tokoh Islam. Jurnal Ilmiah Ekonomi Islam, 10(1), 807–820.</w:t>
      </w:r>
    </w:p>
    <w:p w14:paraId="1F534974" w14:textId="77777777" w:rsidR="0057206C" w:rsidRDefault="00000000">
      <w:pPr>
        <w:spacing w:after="0" w:line="240" w:lineRule="auto"/>
        <w:ind w:left="567" w:hanging="567"/>
        <w:jc w:val="both"/>
      </w:pPr>
      <w:r>
        <w:t>Selfkey.org. (2020). A comprehensive list of cryptocurrency exchange hacks. Garratt, R., &amp; Zhu, H. (2021). On Interest-Bearing Central Bank Digital Currency with Heterogeneous Banks.</w:t>
      </w:r>
    </w:p>
    <w:p w14:paraId="5935A255" w14:textId="77777777" w:rsidR="0057206C" w:rsidRDefault="00000000">
      <w:pPr>
        <w:spacing w:after="0" w:line="240" w:lineRule="auto"/>
        <w:ind w:left="567" w:hanging="567"/>
        <w:jc w:val="both"/>
      </w:pPr>
      <w:r>
        <w:t>Shah, M. A. (2024). Assessing the Role of Public-Private Partnership in the Deployment of Central Bank Digital Currencies (CBDCs). Advances in Finance, Accounting, and Economics, 54–67. https://doi.org/10.4018/979-8-3693-5588-6.ch004</w:t>
      </w:r>
    </w:p>
    <w:p w14:paraId="79A183BF" w14:textId="77777777" w:rsidR="0057206C" w:rsidRDefault="00000000">
      <w:pPr>
        <w:spacing w:after="0" w:line="240" w:lineRule="auto"/>
        <w:ind w:left="567" w:hanging="567"/>
        <w:jc w:val="both"/>
      </w:pPr>
      <w:r>
        <w:t>Siswantoro, D., Handika, R., &amp; Mita, A. F. (2020). The requirements of cryptocurrency for money, an Islamic view. Heliyon, 6(1).</w:t>
      </w:r>
    </w:p>
    <w:p w14:paraId="444833AB" w14:textId="77777777" w:rsidR="0057206C" w:rsidRDefault="00000000">
      <w:pPr>
        <w:spacing w:after="0" w:line="240" w:lineRule="auto"/>
        <w:ind w:left="567" w:hanging="567"/>
        <w:jc w:val="both"/>
      </w:pPr>
      <w:r>
        <w:t>Sutarsih, E. (2023). Literasi dan Inklusi: Keuangan Syariah sebagai Fundamental Kesejahteraan UMKM: Edukasi Bisnis Akses Keuangan Syariah untuk UMKM Santri di Yogyakarta. As-Syar’i: Jurnal Bimbingan &amp; Konseling Keluarga, 5(3), 1130–1149.</w:t>
      </w:r>
    </w:p>
    <w:sectPr w:rsidR="0057206C" w:rsidSect="0064063B">
      <w:headerReference w:type="default" r:id="rId10"/>
      <w:footerReference w:type="default" r:id="rId11"/>
      <w:pgSz w:w="11906" w:h="16838" w:code="9"/>
      <w:pgMar w:top="1134" w:right="1134" w:bottom="1134" w:left="1134" w:header="0" w:footer="510" w:gutter="0"/>
      <w:pgNumType w:start="7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A7E8" w14:textId="77777777" w:rsidR="00A54257" w:rsidRDefault="00A54257" w:rsidP="00485CFC">
      <w:pPr>
        <w:spacing w:after="0" w:line="240" w:lineRule="auto"/>
      </w:pPr>
      <w:r>
        <w:separator/>
      </w:r>
    </w:p>
  </w:endnote>
  <w:endnote w:type="continuationSeparator" w:id="0">
    <w:p w14:paraId="0876C3E6" w14:textId="77777777" w:rsidR="00A54257" w:rsidRDefault="00A54257" w:rsidP="00485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540508"/>
      <w:docPartObj>
        <w:docPartGallery w:val="Page Numbers (Bottom of Page)"/>
        <w:docPartUnique/>
      </w:docPartObj>
    </w:sdtPr>
    <w:sdtEndPr>
      <w:rPr>
        <w:noProof/>
        <w:sz w:val="18"/>
        <w:szCs w:val="18"/>
      </w:rPr>
    </w:sdtEndPr>
    <w:sdtContent>
      <w:p w14:paraId="2DBB680D" w14:textId="77777777" w:rsidR="00CE486F" w:rsidRPr="00E92514" w:rsidRDefault="00577083" w:rsidP="007E25A7">
        <w:pPr>
          <w:pStyle w:val="Footer"/>
          <w:jc w:val="right"/>
          <w:rPr>
            <w:sz w:val="18"/>
            <w:szCs w:val="18"/>
          </w:rPr>
        </w:pPr>
        <w:r w:rsidRPr="00E92514">
          <w:rPr>
            <w:sz w:val="18"/>
            <w:szCs w:val="18"/>
          </w:rPr>
          <w:fldChar w:fldCharType="begin"/>
        </w:r>
        <w:r w:rsidRPr="00E92514">
          <w:rPr>
            <w:sz w:val="18"/>
            <w:szCs w:val="18"/>
          </w:rPr>
          <w:instrText xml:space="preserve"> PAGE   \* MERGEFORMAT </w:instrText>
        </w:r>
        <w:r w:rsidRPr="00E92514">
          <w:rPr>
            <w:sz w:val="18"/>
            <w:szCs w:val="18"/>
          </w:rPr>
          <w:fldChar w:fldCharType="separate"/>
        </w:r>
        <w:r w:rsidRPr="00E92514">
          <w:rPr>
            <w:noProof/>
            <w:sz w:val="18"/>
            <w:szCs w:val="18"/>
          </w:rPr>
          <w:t>2</w:t>
        </w:r>
        <w:r w:rsidRPr="00E92514">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1C8B6" w14:textId="77777777" w:rsidR="00A54257" w:rsidRDefault="00A54257" w:rsidP="00485CFC">
      <w:pPr>
        <w:spacing w:after="0" w:line="240" w:lineRule="auto"/>
      </w:pPr>
      <w:r>
        <w:separator/>
      </w:r>
    </w:p>
  </w:footnote>
  <w:footnote w:type="continuationSeparator" w:id="0">
    <w:p w14:paraId="747C2BC9" w14:textId="77777777" w:rsidR="00A54257" w:rsidRDefault="00A54257" w:rsidP="00485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DE6C" w14:textId="77777777" w:rsidR="00CE486F" w:rsidRPr="002579F9" w:rsidRDefault="002579F9" w:rsidP="002579F9">
    <w:pPr>
      <w:pStyle w:val="Header"/>
      <w:ind w:left="-1418"/>
    </w:pPr>
    <w:r>
      <w:rPr>
        <w:noProof/>
      </w:rPr>
      <w:drawing>
        <wp:inline distT="0" distB="0" distL="0" distR="0" wp14:anchorId="57E1F721" wp14:editId="5CA15F17">
          <wp:extent cx="7757160" cy="1723390"/>
          <wp:effectExtent l="0" t="0" r="0" b="0"/>
          <wp:docPr id="711090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664" cy="17241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933"/>
    <w:multiLevelType w:val="hybridMultilevel"/>
    <w:tmpl w:val="DDBE3BB0"/>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 w15:restartNumberingAfterBreak="0">
    <w:nsid w:val="0D6B0620"/>
    <w:multiLevelType w:val="multilevel"/>
    <w:tmpl w:val="6FC0A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1554F"/>
    <w:multiLevelType w:val="hybridMultilevel"/>
    <w:tmpl w:val="AF4A30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3006F56"/>
    <w:multiLevelType w:val="hybridMultilevel"/>
    <w:tmpl w:val="4CEEC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41C2A"/>
    <w:multiLevelType w:val="hybridMultilevel"/>
    <w:tmpl w:val="3F2E52CC"/>
    <w:lvl w:ilvl="0" w:tplc="38090011">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5" w15:restartNumberingAfterBreak="0">
    <w:nsid w:val="34333FEE"/>
    <w:multiLevelType w:val="hybridMultilevel"/>
    <w:tmpl w:val="9F9A4C0A"/>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347357F4"/>
    <w:multiLevelType w:val="hybridMultilevel"/>
    <w:tmpl w:val="0AFE0662"/>
    <w:lvl w:ilvl="0" w:tplc="38090011">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7" w15:restartNumberingAfterBreak="0">
    <w:nsid w:val="38A54136"/>
    <w:multiLevelType w:val="hybridMultilevel"/>
    <w:tmpl w:val="B6684DA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4A0D06D0"/>
    <w:multiLevelType w:val="hybridMultilevel"/>
    <w:tmpl w:val="644E8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804429"/>
    <w:multiLevelType w:val="hybridMultilevel"/>
    <w:tmpl w:val="ECB8F394"/>
    <w:lvl w:ilvl="0" w:tplc="06AAFB34">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751406"/>
    <w:multiLevelType w:val="hybridMultilevel"/>
    <w:tmpl w:val="B9382394"/>
    <w:lvl w:ilvl="0" w:tplc="308CF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FA20C2"/>
    <w:multiLevelType w:val="hybridMultilevel"/>
    <w:tmpl w:val="B6684DA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6864065B"/>
    <w:multiLevelType w:val="hybridMultilevel"/>
    <w:tmpl w:val="F67A5088"/>
    <w:lvl w:ilvl="0" w:tplc="01600C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EA0942"/>
    <w:multiLevelType w:val="hybridMultilevel"/>
    <w:tmpl w:val="B6684DA6"/>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4" w15:restartNumberingAfterBreak="0">
    <w:nsid w:val="6D2E51CA"/>
    <w:multiLevelType w:val="hybridMultilevel"/>
    <w:tmpl w:val="861C7336"/>
    <w:lvl w:ilvl="0" w:tplc="308CF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0072B"/>
    <w:multiLevelType w:val="hybridMultilevel"/>
    <w:tmpl w:val="384E6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BA6DA0"/>
    <w:multiLevelType w:val="hybridMultilevel"/>
    <w:tmpl w:val="06926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246477">
    <w:abstractNumId w:val="3"/>
  </w:num>
  <w:num w:numId="2" w16cid:durableId="657004271">
    <w:abstractNumId w:val="8"/>
  </w:num>
  <w:num w:numId="3" w16cid:durableId="371808643">
    <w:abstractNumId w:val="16"/>
  </w:num>
  <w:num w:numId="4" w16cid:durableId="1603414012">
    <w:abstractNumId w:val="15"/>
  </w:num>
  <w:num w:numId="5" w16cid:durableId="24793409">
    <w:abstractNumId w:val="12"/>
  </w:num>
  <w:num w:numId="6" w16cid:durableId="1967152933">
    <w:abstractNumId w:val="10"/>
  </w:num>
  <w:num w:numId="7" w16cid:durableId="624237714">
    <w:abstractNumId w:val="14"/>
  </w:num>
  <w:num w:numId="8" w16cid:durableId="465049382">
    <w:abstractNumId w:val="9"/>
  </w:num>
  <w:num w:numId="9" w16cid:durableId="1473250824">
    <w:abstractNumId w:val="1"/>
  </w:num>
  <w:num w:numId="10" w16cid:durableId="1652935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0187506">
    <w:abstractNumId w:val="5"/>
  </w:num>
  <w:num w:numId="12" w16cid:durableId="1932540680">
    <w:abstractNumId w:val="13"/>
  </w:num>
  <w:num w:numId="13" w16cid:durableId="2121025635">
    <w:abstractNumId w:val="6"/>
  </w:num>
  <w:num w:numId="14" w16cid:durableId="1843205775">
    <w:abstractNumId w:val="11"/>
  </w:num>
  <w:num w:numId="15" w16cid:durableId="2088384036">
    <w:abstractNumId w:val="7"/>
  </w:num>
  <w:num w:numId="16" w16cid:durableId="1012881306">
    <w:abstractNumId w:val="0"/>
  </w:num>
  <w:num w:numId="17" w16cid:durableId="2028208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68"/>
    <w:rsid w:val="00005FE5"/>
    <w:rsid w:val="00006D53"/>
    <w:rsid w:val="00015762"/>
    <w:rsid w:val="00020263"/>
    <w:rsid w:val="000649C2"/>
    <w:rsid w:val="000871B8"/>
    <w:rsid w:val="00090FF6"/>
    <w:rsid w:val="00094F92"/>
    <w:rsid w:val="000B2742"/>
    <w:rsid w:val="000B5DDF"/>
    <w:rsid w:val="000E2F15"/>
    <w:rsid w:val="000F57E5"/>
    <w:rsid w:val="001049ED"/>
    <w:rsid w:val="00115CA5"/>
    <w:rsid w:val="0012056F"/>
    <w:rsid w:val="00131A3B"/>
    <w:rsid w:val="00132223"/>
    <w:rsid w:val="00152D34"/>
    <w:rsid w:val="001647F3"/>
    <w:rsid w:val="00177F48"/>
    <w:rsid w:val="001969ED"/>
    <w:rsid w:val="001C1306"/>
    <w:rsid w:val="001F4C30"/>
    <w:rsid w:val="001F709D"/>
    <w:rsid w:val="00204145"/>
    <w:rsid w:val="00214529"/>
    <w:rsid w:val="0021775E"/>
    <w:rsid w:val="00221A5A"/>
    <w:rsid w:val="002255D9"/>
    <w:rsid w:val="002403B7"/>
    <w:rsid w:val="00241DC5"/>
    <w:rsid w:val="002462E8"/>
    <w:rsid w:val="002579F9"/>
    <w:rsid w:val="002762A9"/>
    <w:rsid w:val="002A3317"/>
    <w:rsid w:val="002A40EC"/>
    <w:rsid w:val="002B09B1"/>
    <w:rsid w:val="002B64C7"/>
    <w:rsid w:val="002B7BE5"/>
    <w:rsid w:val="002F24A9"/>
    <w:rsid w:val="0031209D"/>
    <w:rsid w:val="00314592"/>
    <w:rsid w:val="00321D40"/>
    <w:rsid w:val="00340F95"/>
    <w:rsid w:val="003507B6"/>
    <w:rsid w:val="00364B63"/>
    <w:rsid w:val="00380CC5"/>
    <w:rsid w:val="00385C22"/>
    <w:rsid w:val="00393BB1"/>
    <w:rsid w:val="003A0490"/>
    <w:rsid w:val="003A21A4"/>
    <w:rsid w:val="003B72A3"/>
    <w:rsid w:val="003E4468"/>
    <w:rsid w:val="003F64F6"/>
    <w:rsid w:val="00401027"/>
    <w:rsid w:val="00405C10"/>
    <w:rsid w:val="00406B4C"/>
    <w:rsid w:val="004138AB"/>
    <w:rsid w:val="00451940"/>
    <w:rsid w:val="0045392D"/>
    <w:rsid w:val="00455BFB"/>
    <w:rsid w:val="00462D4B"/>
    <w:rsid w:val="00484DF8"/>
    <w:rsid w:val="00485CFC"/>
    <w:rsid w:val="00496206"/>
    <w:rsid w:val="004A0A09"/>
    <w:rsid w:val="004A1919"/>
    <w:rsid w:val="004A57D0"/>
    <w:rsid w:val="004C5817"/>
    <w:rsid w:val="004F4F4F"/>
    <w:rsid w:val="00517883"/>
    <w:rsid w:val="00544F35"/>
    <w:rsid w:val="005568F9"/>
    <w:rsid w:val="0057206C"/>
    <w:rsid w:val="00577083"/>
    <w:rsid w:val="005973D3"/>
    <w:rsid w:val="005A34B2"/>
    <w:rsid w:val="005C3AE6"/>
    <w:rsid w:val="005E1A91"/>
    <w:rsid w:val="005E4B87"/>
    <w:rsid w:val="005F4409"/>
    <w:rsid w:val="006011A5"/>
    <w:rsid w:val="006155AF"/>
    <w:rsid w:val="006335D4"/>
    <w:rsid w:val="0063752D"/>
    <w:rsid w:val="0064063B"/>
    <w:rsid w:val="00671B29"/>
    <w:rsid w:val="00675D09"/>
    <w:rsid w:val="00684CB5"/>
    <w:rsid w:val="006935DD"/>
    <w:rsid w:val="00696E1C"/>
    <w:rsid w:val="006A0BDE"/>
    <w:rsid w:val="006A3036"/>
    <w:rsid w:val="006C51A9"/>
    <w:rsid w:val="006D3706"/>
    <w:rsid w:val="006D7124"/>
    <w:rsid w:val="006F01FF"/>
    <w:rsid w:val="006F4D93"/>
    <w:rsid w:val="00707BAD"/>
    <w:rsid w:val="00710613"/>
    <w:rsid w:val="00711805"/>
    <w:rsid w:val="00712CFE"/>
    <w:rsid w:val="007251F9"/>
    <w:rsid w:val="00734826"/>
    <w:rsid w:val="00750ADA"/>
    <w:rsid w:val="0076375A"/>
    <w:rsid w:val="0076432B"/>
    <w:rsid w:val="00766379"/>
    <w:rsid w:val="00777F5F"/>
    <w:rsid w:val="007853C4"/>
    <w:rsid w:val="00790337"/>
    <w:rsid w:val="007B2BC9"/>
    <w:rsid w:val="007D125B"/>
    <w:rsid w:val="007D2705"/>
    <w:rsid w:val="007E250E"/>
    <w:rsid w:val="007E69CC"/>
    <w:rsid w:val="00801BB0"/>
    <w:rsid w:val="00804B44"/>
    <w:rsid w:val="00805DF3"/>
    <w:rsid w:val="0081765F"/>
    <w:rsid w:val="00820C1E"/>
    <w:rsid w:val="00822F0C"/>
    <w:rsid w:val="00830B80"/>
    <w:rsid w:val="00833B21"/>
    <w:rsid w:val="008354EF"/>
    <w:rsid w:val="0084406D"/>
    <w:rsid w:val="00845B47"/>
    <w:rsid w:val="0085085A"/>
    <w:rsid w:val="00856FFD"/>
    <w:rsid w:val="0088129F"/>
    <w:rsid w:val="008D568E"/>
    <w:rsid w:val="008D796A"/>
    <w:rsid w:val="008E0AA1"/>
    <w:rsid w:val="008E0CB0"/>
    <w:rsid w:val="008E1BEB"/>
    <w:rsid w:val="008E7DB4"/>
    <w:rsid w:val="00907130"/>
    <w:rsid w:val="00914C8E"/>
    <w:rsid w:val="00916AD6"/>
    <w:rsid w:val="00925BEA"/>
    <w:rsid w:val="00943321"/>
    <w:rsid w:val="00944765"/>
    <w:rsid w:val="00944D46"/>
    <w:rsid w:val="00952C8A"/>
    <w:rsid w:val="00956E0E"/>
    <w:rsid w:val="00975946"/>
    <w:rsid w:val="00997B66"/>
    <w:rsid w:val="009A6C24"/>
    <w:rsid w:val="009B2581"/>
    <w:rsid w:val="009D3EB2"/>
    <w:rsid w:val="00A034C6"/>
    <w:rsid w:val="00A0369E"/>
    <w:rsid w:val="00A04154"/>
    <w:rsid w:val="00A40C6D"/>
    <w:rsid w:val="00A41ABB"/>
    <w:rsid w:val="00A52BB8"/>
    <w:rsid w:val="00A54257"/>
    <w:rsid w:val="00A54C3C"/>
    <w:rsid w:val="00A65F25"/>
    <w:rsid w:val="00A87806"/>
    <w:rsid w:val="00A87D10"/>
    <w:rsid w:val="00A925D7"/>
    <w:rsid w:val="00A96CE4"/>
    <w:rsid w:val="00AA4EB0"/>
    <w:rsid w:val="00AC03BE"/>
    <w:rsid w:val="00AC6FE1"/>
    <w:rsid w:val="00AE67C2"/>
    <w:rsid w:val="00AF6DBE"/>
    <w:rsid w:val="00B02FC3"/>
    <w:rsid w:val="00B80EC9"/>
    <w:rsid w:val="00B95838"/>
    <w:rsid w:val="00BB7ABD"/>
    <w:rsid w:val="00BC0FD3"/>
    <w:rsid w:val="00BC1737"/>
    <w:rsid w:val="00BC3A45"/>
    <w:rsid w:val="00BD7A57"/>
    <w:rsid w:val="00BE3384"/>
    <w:rsid w:val="00BE4C51"/>
    <w:rsid w:val="00BE620D"/>
    <w:rsid w:val="00C02874"/>
    <w:rsid w:val="00C10F9F"/>
    <w:rsid w:val="00C2267A"/>
    <w:rsid w:val="00C300B8"/>
    <w:rsid w:val="00C34AF4"/>
    <w:rsid w:val="00C4454B"/>
    <w:rsid w:val="00C4510C"/>
    <w:rsid w:val="00C45694"/>
    <w:rsid w:val="00C62F77"/>
    <w:rsid w:val="00C71EDA"/>
    <w:rsid w:val="00C72E75"/>
    <w:rsid w:val="00C76776"/>
    <w:rsid w:val="00C910F6"/>
    <w:rsid w:val="00CB1187"/>
    <w:rsid w:val="00CB6BC7"/>
    <w:rsid w:val="00CC2BD3"/>
    <w:rsid w:val="00CE486F"/>
    <w:rsid w:val="00CF65FA"/>
    <w:rsid w:val="00D00778"/>
    <w:rsid w:val="00D223FF"/>
    <w:rsid w:val="00D239D0"/>
    <w:rsid w:val="00D23BFA"/>
    <w:rsid w:val="00D26BF2"/>
    <w:rsid w:val="00D46A60"/>
    <w:rsid w:val="00D53CE5"/>
    <w:rsid w:val="00D53D84"/>
    <w:rsid w:val="00D60870"/>
    <w:rsid w:val="00D60A55"/>
    <w:rsid w:val="00D64A1A"/>
    <w:rsid w:val="00D759CE"/>
    <w:rsid w:val="00D8013A"/>
    <w:rsid w:val="00D91817"/>
    <w:rsid w:val="00D93003"/>
    <w:rsid w:val="00D93922"/>
    <w:rsid w:val="00DA058E"/>
    <w:rsid w:val="00DA36B6"/>
    <w:rsid w:val="00DA469C"/>
    <w:rsid w:val="00DB1270"/>
    <w:rsid w:val="00DB21E1"/>
    <w:rsid w:val="00DB39B2"/>
    <w:rsid w:val="00DF2C45"/>
    <w:rsid w:val="00DF3977"/>
    <w:rsid w:val="00DF4F66"/>
    <w:rsid w:val="00DF7190"/>
    <w:rsid w:val="00E13DEF"/>
    <w:rsid w:val="00E16B15"/>
    <w:rsid w:val="00E21FCF"/>
    <w:rsid w:val="00E22F25"/>
    <w:rsid w:val="00E25D48"/>
    <w:rsid w:val="00E5129D"/>
    <w:rsid w:val="00E64F69"/>
    <w:rsid w:val="00E66C3F"/>
    <w:rsid w:val="00E80AA6"/>
    <w:rsid w:val="00E9095C"/>
    <w:rsid w:val="00E92514"/>
    <w:rsid w:val="00E97002"/>
    <w:rsid w:val="00EB0665"/>
    <w:rsid w:val="00EB3762"/>
    <w:rsid w:val="00EC2413"/>
    <w:rsid w:val="00ED3386"/>
    <w:rsid w:val="00EE0551"/>
    <w:rsid w:val="00EE3441"/>
    <w:rsid w:val="00EE74B1"/>
    <w:rsid w:val="00EF3337"/>
    <w:rsid w:val="00EF6D96"/>
    <w:rsid w:val="00F359EF"/>
    <w:rsid w:val="00F424A5"/>
    <w:rsid w:val="00F60072"/>
    <w:rsid w:val="00F65515"/>
    <w:rsid w:val="00F722C0"/>
    <w:rsid w:val="00FA303D"/>
    <w:rsid w:val="00FD338A"/>
    <w:rsid w:val="00FD6210"/>
    <w:rsid w:val="00FD6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263EC"/>
  <w15:docId w15:val="{07122CF8-7238-4421-9405-E97D15CB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468"/>
    <w:rPr>
      <w:rFonts w:ascii="Garamond" w:eastAsia="Garamond" w:hAnsi="Garamond"/>
    </w:rPr>
  </w:style>
  <w:style w:type="paragraph" w:styleId="Heading1">
    <w:name w:val="heading 1"/>
    <w:basedOn w:val="Normal"/>
    <w:next w:val="Normal"/>
    <w:link w:val="Heading1Char"/>
    <w:uiPriority w:val="9"/>
    <w:qFormat/>
    <w:rsid w:val="003E446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16A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46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54C3C"/>
    <w:pPr>
      <w:ind w:left="720"/>
      <w:contextualSpacing/>
    </w:pPr>
  </w:style>
  <w:style w:type="paragraph" w:styleId="Caption">
    <w:name w:val="caption"/>
    <w:basedOn w:val="Normal"/>
    <w:next w:val="Normal"/>
    <w:uiPriority w:val="35"/>
    <w:unhideWhenUsed/>
    <w:qFormat/>
    <w:rsid w:val="00A54C3C"/>
    <w:pPr>
      <w:spacing w:line="240" w:lineRule="auto"/>
    </w:pPr>
    <w:rPr>
      <w:b/>
      <w:bCs/>
      <w:color w:val="4F81BD" w:themeColor="accent1"/>
      <w:sz w:val="18"/>
      <w:szCs w:val="18"/>
    </w:rPr>
  </w:style>
  <w:style w:type="table" w:styleId="TableGrid">
    <w:name w:val="Table Grid"/>
    <w:basedOn w:val="TableNormal"/>
    <w:uiPriority w:val="59"/>
    <w:qFormat/>
    <w:rsid w:val="00BC3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C3A4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C3A4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C3A4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BalloonText">
    <w:name w:val="Balloon Text"/>
    <w:basedOn w:val="Normal"/>
    <w:link w:val="BalloonTextChar"/>
    <w:uiPriority w:val="99"/>
    <w:semiHidden/>
    <w:unhideWhenUsed/>
    <w:rsid w:val="00601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1A5"/>
    <w:rPr>
      <w:rFonts w:ascii="Tahoma" w:hAnsi="Tahoma" w:cs="Tahoma"/>
      <w:sz w:val="16"/>
      <w:szCs w:val="16"/>
    </w:rPr>
  </w:style>
  <w:style w:type="character" w:styleId="Hyperlink">
    <w:name w:val="Hyperlink"/>
    <w:basedOn w:val="DefaultParagraphFont"/>
    <w:uiPriority w:val="99"/>
    <w:unhideWhenUsed/>
    <w:rsid w:val="002A40EC"/>
    <w:rPr>
      <w:color w:val="0000FF" w:themeColor="hyperlink"/>
      <w:u w:val="single"/>
    </w:rPr>
  </w:style>
  <w:style w:type="character" w:styleId="CommentReference">
    <w:name w:val="annotation reference"/>
    <w:basedOn w:val="DefaultParagraphFont"/>
    <w:uiPriority w:val="99"/>
    <w:semiHidden/>
    <w:unhideWhenUsed/>
    <w:rsid w:val="00997B66"/>
    <w:rPr>
      <w:sz w:val="16"/>
      <w:szCs w:val="16"/>
    </w:rPr>
  </w:style>
  <w:style w:type="paragraph" w:styleId="CommentText">
    <w:name w:val="annotation text"/>
    <w:basedOn w:val="Normal"/>
    <w:link w:val="CommentTextChar"/>
    <w:uiPriority w:val="99"/>
    <w:semiHidden/>
    <w:unhideWhenUsed/>
    <w:rsid w:val="00997B66"/>
    <w:pPr>
      <w:spacing w:line="240" w:lineRule="auto"/>
    </w:pPr>
    <w:rPr>
      <w:sz w:val="20"/>
      <w:szCs w:val="20"/>
    </w:rPr>
  </w:style>
  <w:style w:type="character" w:customStyle="1" w:styleId="CommentTextChar">
    <w:name w:val="Comment Text Char"/>
    <w:basedOn w:val="DefaultParagraphFont"/>
    <w:link w:val="CommentText"/>
    <w:uiPriority w:val="99"/>
    <w:semiHidden/>
    <w:rsid w:val="00997B66"/>
    <w:rPr>
      <w:sz w:val="20"/>
      <w:szCs w:val="20"/>
    </w:rPr>
  </w:style>
  <w:style w:type="paragraph" w:styleId="CommentSubject">
    <w:name w:val="annotation subject"/>
    <w:basedOn w:val="CommentText"/>
    <w:next w:val="CommentText"/>
    <w:link w:val="CommentSubjectChar"/>
    <w:uiPriority w:val="99"/>
    <w:semiHidden/>
    <w:unhideWhenUsed/>
    <w:rsid w:val="00997B66"/>
    <w:rPr>
      <w:b/>
      <w:bCs/>
    </w:rPr>
  </w:style>
  <w:style w:type="character" w:customStyle="1" w:styleId="CommentSubjectChar">
    <w:name w:val="Comment Subject Char"/>
    <w:basedOn w:val="CommentTextChar"/>
    <w:link w:val="CommentSubject"/>
    <w:uiPriority w:val="99"/>
    <w:semiHidden/>
    <w:rsid w:val="00997B66"/>
    <w:rPr>
      <w:b/>
      <w:bCs/>
      <w:sz w:val="20"/>
      <w:szCs w:val="20"/>
    </w:rPr>
  </w:style>
  <w:style w:type="character" w:customStyle="1" w:styleId="Heading2Char">
    <w:name w:val="Heading 2 Char"/>
    <w:basedOn w:val="DefaultParagraphFont"/>
    <w:link w:val="Heading2"/>
    <w:uiPriority w:val="9"/>
    <w:rsid w:val="00916AD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85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FC"/>
  </w:style>
  <w:style w:type="paragraph" w:styleId="Footer">
    <w:name w:val="footer"/>
    <w:basedOn w:val="Normal"/>
    <w:link w:val="FooterChar"/>
    <w:uiPriority w:val="99"/>
    <w:unhideWhenUsed/>
    <w:rsid w:val="00485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CFC"/>
  </w:style>
  <w:style w:type="character" w:styleId="UnresolvedMention">
    <w:name w:val="Unresolved Mention"/>
    <w:basedOn w:val="DefaultParagraphFont"/>
    <w:uiPriority w:val="99"/>
    <w:semiHidden/>
    <w:unhideWhenUsed/>
    <w:rsid w:val="003F64F6"/>
    <w:rPr>
      <w:color w:val="605E5C"/>
      <w:shd w:val="clear" w:color="auto" w:fill="E1DFDD"/>
    </w:rPr>
  </w:style>
  <w:style w:type="table" w:customStyle="1" w:styleId="TableGrid1">
    <w:name w:val="Table Grid1"/>
    <w:basedOn w:val="TableNormal"/>
    <w:next w:val="TableGrid"/>
    <w:uiPriority w:val="59"/>
    <w:qFormat/>
    <w:rsid w:val="0045392D"/>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masyafiyah76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284C9-2600-445C-A737-6ED7FEE8C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3698</Words>
  <Characters>21084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Promoting Economic Transformation Through Strengthening Human Capital: Empirical Evidence from Districts/Cities in Riau Province</vt:lpstr>
    </vt:vector>
  </TitlesOfParts>
  <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Promoting Economic Transformation Through Strengthening Human Capital: Empirical Evidence from Districts/Cities in Riau Province</dc:title>
  <dc:subject>Journal of Entrepreneurial and Business Diversity (JEBD) manuscript</dc:subject>
  <dc:creator>Rizka Safira;B. Isyandi</dc:creator>
  <cp:lastModifiedBy>HP</cp:lastModifiedBy>
  <cp:revision>18</cp:revision>
  <cp:lastPrinted>2026-10-15T02:21:00Z</cp:lastPrinted>
  <dcterms:created xsi:type="dcterms:W3CDTF">2026-09-15T09:51:00Z</dcterms:created>
  <dcterms:modified xsi:type="dcterms:W3CDTF">2026-10-15T02:22:00Z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3d66964f-395a-3933-8db6-3b6c1958d8ac</vt:lpwstr>
  </property>
  <property fmtid="{D5CDD505-2E9C-101B-9397-08002B2CF9AE}" pid="24" name="Mendeley Citation Style_1">
    <vt:lpwstr>http://www.zotero.org/styles/apa</vt:lpwstr>
  </property>
</Properties>
</file>